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right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40"/>
        </w:rPr>
      </w:pPr>
      <w:r>
        <w:rPr>
          <w:rFonts w:ascii="Calibri" w:hAnsi="Calibri"/>
          <w:b/>
          <w:sz w:val="40"/>
        </w:rPr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40"/>
        </w:rPr>
      </w:pPr>
      <w:r>
        <w:rPr>
          <w:rFonts w:ascii="Calibri" w:hAnsi="Calibri"/>
          <w:b/>
          <w:sz w:val="40"/>
        </w:rPr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40"/>
        </w:rPr>
      </w:pPr>
      <w:r>
        <w:rPr>
          <w:rFonts w:ascii="Calibri" w:hAnsi="Calibri"/>
          <w:b/>
          <w:sz w:val="40"/>
        </w:rPr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40"/>
        </w:rPr>
      </w:pPr>
      <w:r>
        <w:rPr>
          <w:rFonts w:ascii="Calibri" w:hAnsi="Calibri"/>
          <w:b/>
          <w:sz w:val="40"/>
        </w:rPr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40"/>
        </w:rPr>
      </w:pPr>
      <w:r>
        <w:rPr>
          <w:rFonts w:ascii="Calibri" w:hAnsi="Calibri"/>
          <w:b/>
          <w:sz w:val="40"/>
        </w:rPr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40"/>
        </w:rPr>
      </w:pPr>
      <w:r>
        <w:rPr>
          <w:rFonts w:ascii="Calibri" w:hAnsi="Calibri"/>
          <w:b/>
          <w:sz w:val="40"/>
        </w:rPr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40"/>
        </w:rPr>
      </w:pPr>
      <w:r>
        <w:rPr>
          <w:rFonts w:ascii="Calibri" w:hAnsi="Calibri"/>
          <w:b/>
          <w:sz w:val="40"/>
        </w:rPr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40"/>
          <w:szCs w:val="36"/>
        </w:rPr>
      </w:pPr>
      <w:r>
        <w:rPr>
          <w:rFonts w:ascii="Calibri" w:hAnsi="Calibri"/>
          <w:b/>
          <w:sz w:val="40"/>
        </w:rPr>
        <w:t>Instrukcja zarządzania systemem informatycznym służącym do przetwarzania danych osobowych</w:t>
      </w:r>
    </w:p>
    <w:p>
      <w:pPr>
        <w:pStyle w:val="Standard"/>
        <w:spacing w:lineRule="auto" w:line="276"/>
        <w:jc w:val="center"/>
        <w:rPr>
          <w:rStyle w:val="Oznaczenie"/>
        </w:rPr>
      </w:pPr>
      <w:r>
        <w:rPr>
          <w:rFonts w:ascii="Calibri" w:hAnsi="Calibri"/>
          <w:b/>
          <w:sz w:val="40"/>
          <w:szCs w:val="20"/>
          <w:u w:val="none"/>
        </w:rPr>
        <w:t>w</w:t>
      </w:r>
      <w:r>
        <w:rPr>
          <w:rFonts w:ascii="Calibri" w:hAnsi="Calibri"/>
          <w:b/>
          <w:sz w:val="40"/>
          <w:szCs w:val="20"/>
          <w:u w:val="single"/>
        </w:rPr>
        <w:t xml:space="preserve"> </w:t>
      </w:r>
      <w:r>
        <w:rPr>
          <w:rFonts w:ascii="Calibri" w:hAnsi="Calibri"/>
          <w:b/>
          <w:sz w:val="40"/>
          <w:szCs w:val="16"/>
          <w:u w:val="single"/>
        </w:rPr>
        <w:t>Dental Depot Lucyna Wasio</w:t>
      </w:r>
      <w:r>
        <w:rPr>
          <w:rFonts w:cs="Tahoma" w:ascii="Calibri" w:hAnsi="Calibri"/>
          <w:b/>
          <w:sz w:val="40"/>
          <w:szCs w:val="16"/>
        </w:rPr>
        <w:t xml:space="preserve"> </w:t>
      </w:r>
    </w:p>
    <w:p>
      <w:pPr>
        <w:pStyle w:val="Standard"/>
        <w:spacing w:lineRule="auto" w:line="276"/>
        <w:jc w:val="both"/>
        <w:rPr>
          <w:rStyle w:val="Oznaczenie"/>
        </w:rPr>
      </w:pPr>
      <w:r>
        <w:rPr/>
      </w:r>
    </w:p>
    <w:p>
      <w:pPr>
        <w:pStyle w:val="Standard"/>
        <w:spacing w:lineRule="auto" w:line="276"/>
        <w:jc w:val="both"/>
        <w:rPr>
          <w:rStyle w:val="Oznaczenie"/>
        </w:rPr>
      </w:pPr>
      <w:r>
        <w:rPr/>
      </w:r>
    </w:p>
    <w:p>
      <w:pPr>
        <w:pStyle w:val="Standard"/>
        <w:spacing w:lineRule="auto" w:line="276"/>
        <w:jc w:val="both"/>
        <w:rPr>
          <w:rStyle w:val="Oznaczenie"/>
        </w:rPr>
      </w:pPr>
      <w:r>
        <w:rPr/>
      </w:r>
    </w:p>
    <w:p>
      <w:pPr>
        <w:pStyle w:val="Standard"/>
        <w:spacing w:lineRule="auto" w:line="276"/>
        <w:jc w:val="both"/>
        <w:rPr>
          <w:rStyle w:val="Oznaczenie"/>
        </w:rPr>
      </w:pPr>
      <w:r>
        <w:rPr/>
      </w:r>
    </w:p>
    <w:p>
      <w:pPr>
        <w:pStyle w:val="Standard"/>
        <w:spacing w:lineRule="auto" w:line="276"/>
        <w:jc w:val="both"/>
        <w:rPr>
          <w:rStyle w:val="Oznaczenie"/>
        </w:rPr>
      </w:pPr>
      <w:r>
        <w:rPr/>
      </w:r>
    </w:p>
    <w:p>
      <w:pPr>
        <w:pStyle w:val="Normal"/>
        <w:widowControl/>
        <w:suppressAutoHyphens w:val="false"/>
        <w:spacing w:lineRule="auto" w:line="276"/>
        <w:textAlignment w:val="auto"/>
        <w:rPr>
          <w:rStyle w:val="Oznaczenie"/>
          <w:rFonts w:cs="Times New Roman"/>
        </w:rPr>
      </w:pPr>
      <w:r>
        <w:rPr>
          <w:rFonts w:cs="Times New Roman"/>
        </w:rPr>
      </w:r>
      <w:r>
        <w:br w:type="page"/>
      </w:r>
    </w:p>
    <w:p>
      <w:pPr>
        <w:pStyle w:val="Standard"/>
        <w:spacing w:lineRule="auto" w:line="276"/>
        <w:jc w:val="center"/>
        <w:rPr>
          <w:rStyle w:val="Oznaczenie"/>
          <w:rFonts w:eastAsia="Lucida Sans Unicode" w:cs="Tahoma"/>
        </w:rPr>
      </w:pPr>
      <w:r>
        <w:rPr>
          <w:rStyle w:val="Oznaczenie"/>
          <w:rFonts w:ascii="Calibri" w:hAnsi="Calibri"/>
          <w:b/>
        </w:rPr>
        <w:t>§ 1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  <w:t xml:space="preserve">Celem Instrukcji </w:t>
      </w:r>
      <w:r>
        <w:rPr>
          <w:rFonts w:ascii="Calibri" w:hAnsi="Calibri"/>
        </w:rPr>
        <w:t>zarządzania systemem informatycznym służącym do przetwarzania danych osobowych</w:t>
      </w:r>
      <w:r>
        <w:rPr>
          <w:rFonts w:cs="Arial" w:ascii="Calibri" w:hAnsi="Calibri"/>
          <w:szCs w:val="20"/>
        </w:rPr>
        <w:t xml:space="preserve"> (dalej </w:t>
      </w:r>
      <w:r>
        <w:rPr>
          <w:rFonts w:cs="Arial" w:ascii="Calibri" w:hAnsi="Calibri"/>
          <w:i/>
          <w:szCs w:val="20"/>
        </w:rPr>
        <w:t>„Instrukcja”</w:t>
      </w:r>
      <w:r>
        <w:rPr>
          <w:rFonts w:cs="Arial" w:ascii="Calibri" w:hAnsi="Calibri"/>
          <w:szCs w:val="20"/>
        </w:rPr>
        <w:t xml:space="preserve">) jest ustalenie zasad zabezpieczania i bezpiecznego przetwarzania informacji zbieranych w formie elektronicznej w </w:t>
      </w:r>
      <w:r>
        <w:rPr>
          <w:rFonts w:ascii="Calibri" w:hAnsi="Calibri"/>
        </w:rPr>
        <w:t xml:space="preserve">podmiocie: </w:t>
      </w:r>
      <w:r>
        <w:rPr>
          <w:szCs w:val="16"/>
        </w:rPr>
        <w:t>Dental Depot Lucyna Wasio</w:t>
      </w:r>
      <w:r>
        <w:rPr>
          <w:rFonts w:ascii="Calibri" w:hAnsi="Calibri"/>
        </w:rPr>
        <w:t xml:space="preserve"> zwanym dalej również </w:t>
      </w:r>
      <w:r>
        <w:rPr>
          <w:rFonts w:ascii="Calibri" w:hAnsi="Calibri"/>
          <w:i/>
        </w:rPr>
        <w:t>„PL”</w:t>
      </w:r>
      <w:r>
        <w:rPr>
          <w:rFonts w:cs="Arial" w:ascii="Calibri" w:hAnsi="Calibri"/>
          <w:szCs w:val="20"/>
        </w:rPr>
        <w:t>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</w:rPr>
      </w:pPr>
      <w:r>
        <w:rPr>
          <w:rFonts w:cs="Arial" w:ascii="Calibri" w:hAnsi="Calibri"/>
          <w:szCs w:val="20"/>
        </w:rPr>
        <w:t xml:space="preserve">Instrukcja obowiązuje </w:t>
      </w:r>
      <w:r>
        <w:rPr>
          <w:rFonts w:ascii="Calibri" w:hAnsi="Calibri"/>
        </w:rPr>
        <w:t xml:space="preserve">wszystkie osoby realizujące jakiekolwiek zadania w PL, niezależnie od podstawy wykonywania tych zadań w PL, zwane dalej łącznie dla celów niniejszej Instrukcji </w:t>
      </w:r>
      <w:r>
        <w:rPr>
          <w:rFonts w:ascii="Calibri" w:hAnsi="Calibri"/>
          <w:i/>
        </w:rPr>
        <w:t>„pracownikami”</w:t>
      </w:r>
      <w:r>
        <w:rPr>
          <w:rFonts w:cs="Arial" w:ascii="Calibri" w:hAnsi="Calibri"/>
          <w:i/>
          <w:szCs w:val="20"/>
        </w:rPr>
        <w:t xml:space="preserve">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  <w:t>Zakresem instrukcji objęte są działania związane z zabezpieczeniami sprzętu i oprogramowania komputerowego oraz postępowaniem personelu mającym na celu zapewnienie poufności gromadzonych danych.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  <w:t>Administrator danych odpowiada za zapewnienie stosowania odpowiednich zabezpieczeń bazy informacji zbieranych w formie elektronicznej.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  <w:t>IOD odpowiada za organizację sieci, kontrolę przestrzegania zasad opisanych w instrukcji, instalację oprogramowania, nadzorowanie sieci.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ascii="Calibri" w:hAnsi="Calibri"/>
        </w:rPr>
        <w:t>Obszarem przetwarzania danych osobowych są pomieszczenia PL wskazane w załączniku nr 2 do Polityki.</w:t>
      </w:r>
    </w:p>
    <w:p>
      <w:pPr>
        <w:pStyle w:val="Standard"/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Standard"/>
        <w:spacing w:lineRule="auto" w:line="276"/>
        <w:jc w:val="center"/>
        <w:rPr>
          <w:rFonts w:ascii="Calibri" w:hAnsi="Calibri" w:cs="Arial"/>
          <w:szCs w:val="20"/>
        </w:rPr>
      </w:pPr>
      <w:r>
        <w:rPr>
          <w:rStyle w:val="Oznaczenie"/>
          <w:rFonts w:ascii="Calibri" w:hAnsi="Calibri"/>
          <w:b/>
        </w:rPr>
        <w:t>§ 2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cs="Arial" w:ascii="Calibri" w:hAnsi="Calibri"/>
          <w:szCs w:val="20"/>
        </w:rPr>
        <w:t xml:space="preserve">Dane elektroniczne są zabezpieczane za pomocą pełnych kopii zapasowych. Metoda ta opiera się na kopiowaniu danych przynajmniej jeden raz w miesiącu lub przed aktualizacją programu, na pamięć przenośną. Nośnik zewnętrzny danych, zawierający kopie zapasowe, jest przechowywany poza obszarem przetwarzania, wskazanym w </w:t>
      </w:r>
      <w:r>
        <w:rPr>
          <w:rStyle w:val="Oznaczenie"/>
          <w:rFonts w:ascii="Calibri" w:hAnsi="Calibri"/>
        </w:rPr>
        <w:t xml:space="preserve">§ 1 </w:t>
      </w:r>
      <w:r>
        <w:rPr>
          <w:rFonts w:cs="Arial" w:ascii="Calibri" w:hAnsi="Calibri"/>
          <w:szCs w:val="20"/>
        </w:rPr>
        <w:t>ust. 6.</w:t>
      </w:r>
    </w:p>
    <w:p>
      <w:pPr>
        <w:pStyle w:val="Standard"/>
        <w:spacing w:lineRule="auto" w:line="276"/>
        <w:jc w:val="both"/>
        <w:rPr>
          <w:rFonts w:ascii="Calibri" w:hAnsi="Calibri" w:cs="Arial"/>
          <w:b/>
          <w:b/>
          <w:szCs w:val="20"/>
        </w:rPr>
      </w:pPr>
      <w:r>
        <w:rPr>
          <w:rFonts w:cs="Arial" w:ascii="Calibri" w:hAnsi="Calibri"/>
          <w:b/>
          <w:szCs w:val="20"/>
        </w:rPr>
      </w:r>
    </w:p>
    <w:p>
      <w:pPr>
        <w:pStyle w:val="Standard"/>
        <w:spacing w:lineRule="auto" w:line="276"/>
        <w:jc w:val="center"/>
        <w:rPr>
          <w:rStyle w:val="Oznaczenie"/>
        </w:rPr>
      </w:pPr>
      <w:r>
        <w:rPr>
          <w:rStyle w:val="Oznaczenie"/>
          <w:rFonts w:ascii="Calibri" w:hAnsi="Calibri"/>
          <w:b/>
        </w:rPr>
        <w:t>§ 3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  <w:t>Wszyscy użytkownicy systemów informatycznych zarejestrowani są w „Karcie użytkowników”, stanowiącej załącznik do niniejszej Instrukcji.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ascii="Calibri" w:hAnsi="Calibri"/>
        </w:rPr>
      </w:pPr>
      <w:r>
        <w:rPr>
          <w:rFonts w:cs="Arial" w:ascii="Calibri" w:hAnsi="Calibri"/>
          <w:szCs w:val="20"/>
        </w:rPr>
        <w:t>W „Karcie użytkowników” zawarte są informacje o pracowniku, dacie uzyskania dostępu do systemów informatycznych oraz dacie pozbawienia tego dostępu. Pracownik zostaje pozbawiony dostępu do systemów informatycznych w wypadku zakończenia pracy w PL lub nieobecności w pracy przekraczającej 21 dni. Zmiany w „Karcie użytkowników” wprowadza IOD.</w:t>
      </w:r>
    </w:p>
    <w:p>
      <w:pPr>
        <w:pStyle w:val="Standard"/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Standard"/>
        <w:spacing w:lineRule="auto" w:line="276"/>
        <w:jc w:val="center"/>
        <w:rPr>
          <w:rStyle w:val="Oznaczenie"/>
        </w:rPr>
      </w:pPr>
      <w:r>
        <w:rPr>
          <w:rStyle w:val="Oznaczenie"/>
          <w:rFonts w:ascii="Calibri" w:hAnsi="Calibri"/>
          <w:b/>
        </w:rPr>
        <w:t>§ 4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  <w:t xml:space="preserve">Każdy pracownik zarejestrowany w „Karcie użytkowników”, aby uzyskać dostęp do systemu, posługuje się hasłem. Hasło musi składać się z 8 znaków, w tym minimum z </w:t>
      </w:r>
      <w:r>
        <w:rPr>
          <w:rFonts w:cs="Arial" w:ascii="Calibri" w:hAnsi="Calibri"/>
          <w:szCs w:val="20"/>
        </w:rPr>
        <w:t>2 cyfr i 2 znaków specjalnych</w:t>
      </w:r>
      <w:r>
        <w:rPr>
          <w:rFonts w:cs="Arial" w:ascii="Calibri" w:hAnsi="Calibri"/>
          <w:szCs w:val="20"/>
        </w:rPr>
        <w:t>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ascii="Calibri" w:hAnsi="Calibri"/>
        </w:rPr>
      </w:pPr>
      <w:r>
        <w:rPr>
          <w:rFonts w:cs="Arial" w:ascii="Calibri" w:hAnsi="Calibri"/>
          <w:szCs w:val="20"/>
        </w:rPr>
        <w:t xml:space="preserve">Hasła zmienia każdy pracownik nie rzadziej niż co </w:t>
      </w:r>
      <w:r>
        <w:rPr>
          <w:rFonts w:cs="Arial"/>
          <w:szCs w:val="20"/>
        </w:rPr>
        <w:t>18</w:t>
      </w:r>
      <w:r>
        <w:rPr>
          <w:rFonts w:cs="Arial" w:ascii="Calibri" w:hAnsi="Calibri"/>
          <w:szCs w:val="20"/>
        </w:rPr>
        <w:t>0 dni. Nowe hasło musi się różnić od poprzedniego minimum 3 znakami. Zabrania się pracownikom udostępniania haseł osobom trzecim. Zabrania się korzystania przez pracowników z haseł innych osób zatrudnionych w PL</w:t>
      </w:r>
      <w:r>
        <w:rPr>
          <w:rFonts w:cs="Arial" w:ascii="Calibri" w:hAnsi="Calibri"/>
          <w:szCs w:val="20"/>
        </w:rPr>
        <w:t>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ascii="Calibri" w:hAnsi="Calibri"/>
        </w:rPr>
      </w:pPr>
      <w:r>
        <w:rPr>
          <w:rFonts w:cs="Arial" w:ascii="Calibri" w:hAnsi="Calibri"/>
          <w:szCs w:val="20"/>
        </w:rPr>
        <w:t>Z poziomu IOD istnieje możliwość kontroli haseł użytkowników. Hasło IOD jest każdorazowo przekazywane Administratorowi danych.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sz w:val="24"/>
        </w:rPr>
      </w:pPr>
      <w:r>
        <w:rPr>
          <w:sz w:val="24"/>
        </w:rPr>
        <w:t xml:space="preserve">W zakresie bezpieczeństwa użytkowania programów komputerowych </w:t>
      </w:r>
      <w:r>
        <w:rPr>
          <w:rFonts w:ascii="Times New Roman" w:hAnsi="Times New Roman"/>
          <w:sz w:val="24"/>
        </w:rPr>
        <w:t>Excel</w:t>
      </w:r>
      <w:r>
        <w:rPr>
          <w:sz w:val="24"/>
        </w:rPr>
        <w:t xml:space="preserve"> oraz </w:t>
      </w:r>
      <w:r>
        <w:rPr>
          <w:rFonts w:ascii="Times New Roman" w:hAnsi="Times New Roman"/>
          <w:sz w:val="24"/>
        </w:rPr>
        <w:t>Subiekt GT</w:t>
      </w:r>
      <w:r>
        <w:rPr>
          <w:sz w:val="24"/>
        </w:rPr>
        <w:t xml:space="preserve"> obowiązują następujące zasady: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sz w:val="24"/>
        </w:rPr>
      </w:pPr>
      <w:r>
        <w:rPr>
          <w:sz w:val="24"/>
        </w:rPr>
        <w:t>Dostęp do aplikacji mają wyłącznie użytkownicy posiadający założone konto z przypisanym hasłem,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sz w:val="24"/>
        </w:rPr>
      </w:pPr>
      <w:r>
        <w:rPr>
          <w:sz w:val="24"/>
        </w:rPr>
        <w:t>Wszystkie działania użytkownika (dodawanie i zmiana danych) zapisywane są w historii,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sz w:val="24"/>
        </w:rPr>
      </w:pPr>
      <w:r>
        <w:rPr>
          <w:sz w:val="24"/>
        </w:rPr>
        <w:t>Każdy z użytkowników ma dostęp do wybranych funkcji programu, które określa poziom przyznanych mu uprawnień,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sz w:val="24"/>
        </w:rPr>
      </w:pPr>
      <w:r>
        <w:rPr>
          <w:sz w:val="24"/>
        </w:rPr>
        <w:t>Do głównego serwera wystawiony jest dostęp dla serwisu, realizowany przy pomocy szyfrowanego protokołu połączenia (zabezpieczonego hasłem).</w:t>
      </w:r>
    </w:p>
    <w:p>
      <w:pPr>
        <w:pStyle w:val="Standard"/>
        <w:spacing w:lineRule="auto" w:line="276"/>
        <w:jc w:val="both"/>
        <w:rPr>
          <w:rFonts w:ascii="Calibri" w:hAnsi="Calibri" w:cs="Arial"/>
          <w:b/>
          <w:b/>
          <w:szCs w:val="20"/>
        </w:rPr>
      </w:pPr>
      <w:r>
        <w:rPr>
          <w:rFonts w:cs="Arial" w:ascii="Calibri" w:hAnsi="Calibri"/>
          <w:b/>
          <w:szCs w:val="20"/>
        </w:rPr>
      </w:r>
    </w:p>
    <w:p>
      <w:pPr>
        <w:pStyle w:val="Standard"/>
        <w:spacing w:lineRule="auto" w:line="276"/>
        <w:jc w:val="center"/>
        <w:rPr>
          <w:rStyle w:val="Oznaczenie"/>
        </w:rPr>
      </w:pPr>
      <w:r>
        <w:rPr>
          <w:rStyle w:val="Oznaczenie"/>
          <w:rFonts w:ascii="Calibri" w:hAnsi="Calibri"/>
          <w:b/>
        </w:rPr>
        <w:t>§ 5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  <w:t>Kopie zapasowe tworzone są: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4"/>
        </w:rPr>
      </w:pPr>
      <w:r>
        <w:rPr>
          <w:sz w:val="24"/>
        </w:rPr>
        <w:t>codziennie – na serwerze,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4"/>
        </w:rPr>
      </w:pPr>
      <w:r>
        <w:rPr>
          <w:sz w:val="24"/>
        </w:rPr>
        <w:t>raz na tydzień/miesiąc – na nośniku zewnętrznym.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ascii="Calibri" w:hAnsi="Calibri"/>
        </w:rPr>
      </w:pPr>
      <w:r>
        <w:rPr>
          <w:rFonts w:cs="Arial" w:ascii="Calibri" w:hAnsi="Calibri"/>
          <w:szCs w:val="20"/>
        </w:rPr>
        <w:t>Przy wykonywaniu kopii na nośniku zewnętrznym, obowiązuje rotacja trzech nośników. Kopie zapasowe przekazywane są zarządowi PL, który przechowuje kopie poza PL.</w:t>
      </w:r>
    </w:p>
    <w:p>
      <w:pPr>
        <w:pStyle w:val="Standard"/>
        <w:spacing w:lineRule="auto" w:line="276"/>
        <w:jc w:val="both"/>
        <w:rPr>
          <w:rFonts w:ascii="Calibri" w:hAnsi="Calibri" w:cs="Arial"/>
          <w:b/>
          <w:b/>
          <w:szCs w:val="20"/>
        </w:rPr>
      </w:pPr>
      <w:r>
        <w:rPr>
          <w:rFonts w:cs="Arial" w:ascii="Calibri" w:hAnsi="Calibri"/>
          <w:b/>
          <w:szCs w:val="20"/>
        </w:rPr>
      </w:r>
    </w:p>
    <w:p>
      <w:pPr>
        <w:pStyle w:val="Textbody"/>
        <w:tabs>
          <w:tab w:val="left" w:pos="283" w:leader="none"/>
        </w:tabs>
        <w:spacing w:lineRule="auto" w:line="276"/>
        <w:jc w:val="center"/>
        <w:rPr>
          <w:rFonts w:ascii="Calibri" w:hAnsi="Calibri"/>
          <w:szCs w:val="20"/>
        </w:rPr>
      </w:pPr>
      <w:r>
        <w:rPr>
          <w:rStyle w:val="Oznaczenie"/>
          <w:rFonts w:ascii="Calibri" w:hAnsi="Calibri"/>
          <w:b/>
        </w:rPr>
        <w:t>§ 6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sz w:val="24"/>
        </w:rPr>
      </w:pPr>
      <w:r>
        <w:rPr>
          <w:sz w:val="24"/>
        </w:rPr>
        <w:t>Wszystkie komputery zabezpieczone są w licencjonowane oprogramowanie antywirusowe, podlegające aktualizacji drogą Internetu. Programy antywirusowe zainstalowane są na serwerze i stacjach roboczych. Po każdej naprawie i konserwacji komputera sprzęt jest sprawdzany pod kątem występowania wirusów i konieczności ponownego zainstalowania programu antywirusowego. Elektroniczne nośniki informacji pochodzenia zewnętrznego podlegają automatycznemu sprawdzeniu programem antywirusowym przed rozpoczęciem korzystania z nich.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sz w:val="24"/>
        </w:rPr>
      </w:pPr>
      <w:r>
        <w:rPr>
          <w:sz w:val="24"/>
        </w:rPr>
        <w:t>Dane uzyskiwane drogą teletransmisji podlegają sprawdzeniu przed udostępnieniem użytkownikom.</w:t>
      </w:r>
    </w:p>
    <w:p>
      <w:pPr>
        <w:pStyle w:val="Textbody"/>
        <w:tabs>
          <w:tab w:val="left" w:pos="283" w:leader="none"/>
        </w:tabs>
        <w:spacing w:lineRule="auto" w:line="276"/>
        <w:jc w:val="center"/>
        <w:rPr>
          <w:rStyle w:val="Oznaczenie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tabs>
          <w:tab w:val="left" w:pos="283" w:leader="none"/>
        </w:tabs>
        <w:spacing w:lineRule="auto" w:line="276"/>
        <w:jc w:val="center"/>
        <w:rPr>
          <w:rStyle w:val="Oznaczenie"/>
        </w:rPr>
      </w:pPr>
      <w:r>
        <w:rPr>
          <w:rStyle w:val="Oznaczenie"/>
          <w:rFonts w:ascii="Calibri" w:hAnsi="Calibri"/>
          <w:b/>
        </w:rPr>
        <w:t>§ 7</w:t>
      </w:r>
    </w:p>
    <w:p>
      <w:pPr>
        <w:pStyle w:val="Textbody"/>
        <w:tabs>
          <w:tab w:val="left" w:pos="283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Wydruki z systemu komputerowego podlegają zasadom zabezpieczania stosowanym do dokumentacji w formie papierowej.</w:t>
      </w:r>
    </w:p>
    <w:p>
      <w:pPr>
        <w:pStyle w:val="Standard"/>
        <w:widowControl w:val="false"/>
        <w:tabs>
          <w:tab w:val="left" w:pos="283" w:leader="none"/>
        </w:tabs>
        <w:spacing w:lineRule="auto" w:line="276"/>
        <w:jc w:val="both"/>
        <w:rPr>
          <w:rStyle w:val="Oznaczenie"/>
        </w:rPr>
      </w:pPr>
      <w:r>
        <w:rPr/>
      </w:r>
    </w:p>
    <w:p>
      <w:pPr>
        <w:pStyle w:val="Standard"/>
        <w:widowControl w:val="false"/>
        <w:tabs>
          <w:tab w:val="left" w:pos="283" w:leader="none"/>
        </w:tabs>
        <w:spacing w:lineRule="auto" w:line="276"/>
        <w:jc w:val="center"/>
        <w:rPr>
          <w:rFonts w:ascii="Calibri" w:hAnsi="Calibri" w:cs="Arial"/>
          <w:szCs w:val="20"/>
        </w:rPr>
      </w:pPr>
      <w:r>
        <w:rPr>
          <w:rStyle w:val="Oznaczenie"/>
          <w:rFonts w:ascii="Calibri" w:hAnsi="Calibri"/>
          <w:b/>
        </w:rPr>
        <w:t>§ 8</w:t>
      </w:r>
    </w:p>
    <w:p>
      <w:pPr>
        <w:pStyle w:val="Standard"/>
        <w:widowControl w:val="false"/>
        <w:tabs>
          <w:tab w:val="left" w:pos="283" w:leader="none"/>
        </w:tabs>
        <w:spacing w:lineRule="auto" w:line="276"/>
        <w:jc w:val="both"/>
        <w:rPr>
          <w:rFonts w:ascii="Calibri" w:hAnsi="Calibri" w:cs="Arial"/>
          <w:szCs w:val="20"/>
        </w:rPr>
      </w:pPr>
      <w:r>
        <w:rPr>
          <w:rFonts w:cs="Arial" w:ascii="Calibri" w:hAnsi="Calibri"/>
          <w:szCs w:val="20"/>
        </w:rPr>
        <w:t>W zakresie korzystania z sieci komputerowej obowiązują następujące zasady: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4"/>
        </w:rPr>
      </w:pPr>
      <w:r>
        <w:rPr>
          <w:sz w:val="24"/>
        </w:rPr>
        <w:t>pracownicy nie są uprawnieni do instalacji jakiegokolwiek prywatnego oprogramowania bez odpowiedniej zgody IOD. W przypadku zainstalowania takiego oprogramowania bez odpowiedniej akceptacji pracownik ponosi odpowiedzialność porządkową i prawną,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4"/>
        </w:rPr>
      </w:pPr>
      <w:r>
        <w:rPr>
          <w:sz w:val="24"/>
        </w:rPr>
        <w:t>oprogramowanie na komputerach może być zainstalowane wyłącznie przez IOD lub innego upoważnionego pracownika PL,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4"/>
        </w:rPr>
      </w:pPr>
      <w:r>
        <w:rPr>
          <w:sz w:val="24"/>
        </w:rPr>
        <w:t>pracownicy mogą używać połączenia z Internetem jedynie w celach służbowych, jedynie z przeznaczonych do tego celu komputerów,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4"/>
        </w:rPr>
      </w:pPr>
      <w:r>
        <w:rPr>
          <w:sz w:val="24"/>
        </w:rPr>
        <w:t>pracownicy nie mają prawa przekazywać za pośrednictwem sieci komputerowej do stron trzecich jakichkolwiek danych stanowiących własność PL,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4"/>
        </w:rPr>
      </w:pPr>
      <w:r>
        <w:rPr>
          <w:sz w:val="24"/>
        </w:rPr>
        <w:t>pracownicy nie mogą ściągać za pośrednictwem sieci komputerowej żadnego nielegalnego lub pirackiego oprogramowania,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4"/>
        </w:rPr>
      </w:pPr>
      <w:r>
        <w:rPr>
          <w:sz w:val="24"/>
        </w:rPr>
        <w:t>pracownicy nie mogą podłączać się do sieci zewnętrznej za pośrednictwem modemów lub sieci wi-fi.</w:t>
      </w:r>
    </w:p>
    <w:p>
      <w:pPr>
        <w:pStyle w:val="Textbody"/>
        <w:widowControl w:val="false"/>
        <w:tabs>
          <w:tab w:val="left" w:pos="283" w:leader="none"/>
        </w:tabs>
        <w:spacing w:lineRule="auto" w:line="276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</w:r>
    </w:p>
    <w:p>
      <w:pPr>
        <w:pStyle w:val="Textbody"/>
        <w:tabs>
          <w:tab w:val="left" w:pos="283" w:leader="none"/>
        </w:tabs>
        <w:spacing w:lineRule="auto" w:line="276"/>
        <w:jc w:val="center"/>
        <w:rPr>
          <w:rStyle w:val="Oznaczenie"/>
        </w:rPr>
      </w:pPr>
      <w:r>
        <w:rPr>
          <w:rStyle w:val="Oznaczenie"/>
          <w:rFonts w:ascii="Calibri" w:hAnsi="Calibri"/>
          <w:b/>
        </w:rPr>
        <w:t>§ 9</w:t>
      </w:r>
    </w:p>
    <w:p>
      <w:pPr>
        <w:pStyle w:val="Textbody"/>
        <w:tabs>
          <w:tab w:val="left" w:pos="283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trakcie pracy z wykorzystaniem systemu komputerowego obowiązuje przestrzeganie następujących zasad: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</w:rPr>
      </w:pPr>
      <w:r>
        <w:rPr>
          <w:sz w:val="24"/>
        </w:rPr>
        <w:t>należy w miarę możliwości, ustawiać monitor komputerowy w taki sposób, aby informacje na ekranie nie były widoczne dla osób postronnych,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</w:rPr>
      </w:pPr>
      <w:r>
        <w:rPr>
          <w:sz w:val="24"/>
        </w:rPr>
        <w:t>zawsze należy stosować hasła dostępu,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</w:rPr>
      </w:pPr>
      <w:r>
        <w:rPr>
          <w:sz w:val="24"/>
        </w:rPr>
        <w:t>przy opuszczaniu stanowiska pracy należy wylogować się z systemu,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</w:rPr>
      </w:pPr>
      <w:r>
        <w:rPr>
          <w:sz w:val="24"/>
        </w:rPr>
        <w:t>wszelkie usterki należy zgłaszać IOD.</w:t>
      </w:r>
    </w:p>
    <w:p>
      <w:pPr>
        <w:pStyle w:val="Standard"/>
        <w:spacing w:lineRule="auto" w:line="276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</w:r>
    </w:p>
    <w:p>
      <w:pPr>
        <w:pStyle w:val="Textbody"/>
        <w:tabs>
          <w:tab w:val="left" w:pos="0" w:leader="none"/>
        </w:tabs>
        <w:spacing w:lineRule="auto" w:line="276"/>
        <w:jc w:val="center"/>
        <w:rPr>
          <w:rStyle w:val="Oznaczenie"/>
        </w:rPr>
      </w:pPr>
      <w:r>
        <w:rPr>
          <w:rStyle w:val="Oznaczenie"/>
          <w:rFonts w:ascii="Calibri" w:hAnsi="Calibri"/>
          <w:b/>
        </w:rPr>
        <w:t>§ 10</w:t>
      </w:r>
    </w:p>
    <w:p>
      <w:pPr>
        <w:pStyle w:val="Textbody"/>
        <w:tabs>
          <w:tab w:val="left" w:pos="0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przypadku, gdy w ramach współpracy z innymi podmiotami, zachodzi konieczność eksportu lub importu lub udostępnienia danych osobowych przetwarzanych w systemie informatycznym PL obowiązują, udostępnienie tych danych następuje z zachowaniem następujących zasad: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ramach współpracy z </w:t>
      </w:r>
      <w:r>
        <w:rPr>
          <w:rFonts w:ascii="Calibri" w:hAnsi="Calibri"/>
        </w:rPr>
        <w:t xml:space="preserve"> :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Bankami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Biurem Księgowym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Pocztą i firmami kurierskimi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firmą informatyczną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Agencją reklamową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Firmą organizującą eventy edukacyjne i reklamowe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Podmiotami zewnętrznymi, które zajmują się sprzedażą produktów i usług w Dental Depot Lucyna Wasio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pozostałych przypadkach w ramach współpracy z innymi podmiotami zabezpieczenie w zakresie dostępu do określonych zasobów oraz w zakresie wzajemnej wymiany danych określają strony w postanowieniach umów lub w drodze dwustronnych uzgodnień,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lineRule="auto" w:line="27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każdym wypadku współpracy z innymi podmiotami, zarówno w zakresie importu danych </w:t>
      </w:r>
      <w:r>
        <w:rPr>
          <w:rFonts w:ascii="Calibri" w:hAnsi="Calibri"/>
        </w:rPr>
        <w:t>jak i udostępniania danych zawartych w tych programach, obowiązuje najwyższy poziom zabezpieczenia tego dostępu.</w:t>
      </w:r>
    </w:p>
    <w:p>
      <w:pPr>
        <w:pStyle w:val="Normal"/>
        <w:widowControl/>
        <w:suppressAutoHyphens w:val="false"/>
        <w:spacing w:lineRule="auto" w:line="276"/>
        <w:textAlignment w:val="auto"/>
        <w:rPr>
          <w:rFonts w:ascii="Calibri" w:hAnsi="Calibri"/>
          <w:b/>
          <w:b/>
          <w:i/>
          <w:i/>
          <w:sz w:val="20"/>
          <w:szCs w:val="20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4" w:space="1" w:color="000001"/>
      </w:pBdr>
      <w:jc w:val="right"/>
      <w:rPr/>
    </w:pPr>
    <w:r>
      <w:rPr>
        <w:rFonts w:ascii="Verdana" w:hAnsi="Verdana"/>
        <w:b/>
        <w:sz w:val="20"/>
        <w:szCs w:val="20"/>
      </w:rPr>
      <w:t xml:space="preserve">Strona </w:t>
    </w:r>
    <w:r>
      <w:rPr>
        <w:rFonts w:ascii="Verdana" w:hAnsi="Verdana"/>
        <w:b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Verdana" w:hAnsi="Verdana"/>
        <w:b/>
        <w:sz w:val="20"/>
        <w:szCs w:val="20"/>
      </w:rPr>
      <w:t xml:space="preserve"> z </w:t>
    </w:r>
    <w:r>
      <w:rPr>
        <w:rFonts w:ascii="Verdana" w:hAnsi="Verdana"/>
        <w:b/>
        <w:sz w:val="20"/>
        <w:szCs w:val="20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76"/>
      <w:rPr>
        <w:b/>
        <w:b/>
        <w:i/>
        <w:i/>
        <w:sz w:val="20"/>
        <w:szCs w:val="1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89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Nagwek1">
    <w:name w:val="Nagłówek 1"/>
    <w:link w:val="Heading1Char"/>
    <w:rsid w:val="0035489e"/>
    <w:pPr>
      <w:keepNext/>
      <w:widowControl w:val="false"/>
      <w:spacing w:lineRule="auto" w:line="276" w:before="0" w:after="20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sz w:val="24"/>
      <w:szCs w:val="22"/>
      <w:lang w:val="pl-PL" w:eastAsia="en-US" w:bidi="ar-SA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35489e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HeaderChar" w:customStyle="1">
    <w:name w:val="Header Char"/>
    <w:basedOn w:val="DefaultParagraphFont"/>
    <w:link w:val="Header"/>
    <w:qFormat/>
    <w:rsid w:val="0035489e"/>
    <w:rPr>
      <w:rFonts w:ascii="Arial" w:hAnsi="Arial" w:eastAsia="Lucida Sans Unicode" w:cs="Tahoma"/>
      <w:sz w:val="28"/>
      <w:szCs w:val="28"/>
      <w:lang w:eastAsia="pl-PL"/>
    </w:rPr>
  </w:style>
  <w:style w:type="character" w:styleId="FooterChar" w:customStyle="1">
    <w:name w:val="Footer Char"/>
    <w:basedOn w:val="DefaultParagraphFont"/>
    <w:link w:val="Footer"/>
    <w:qFormat/>
    <w:rsid w:val="0035489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5489e"/>
    <w:rPr>
      <w:rFonts w:ascii="Tahoma" w:hAnsi="Tahoma" w:eastAsia="Lucida Sans Unicode" w:cs="Tahoma"/>
      <w:sz w:val="16"/>
      <w:szCs w:val="16"/>
      <w:lang w:eastAsia="pl-PL"/>
    </w:rPr>
  </w:style>
  <w:style w:type="character" w:styleId="Oznaczenie" w:customStyle="1">
    <w:name w:val="oznaczenie"/>
    <w:basedOn w:val="DefaultParagraphFont"/>
    <w:qFormat/>
    <w:rsid w:val="0035489e"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d52cad"/>
    <w:rPr>
      <w:rFonts w:ascii="Times New Roman" w:hAnsi="Times New Roman" w:eastAsia="Lucida Sans Unicode" w:cs="Tahom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52ca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000000"/>
      <w:sz w:val="20"/>
      <w:szCs w:val="20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5489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Gwka">
    <w:name w:val="Główka"/>
    <w:basedOn w:val="Standard"/>
    <w:link w:val="HeaderChar"/>
    <w:rsid w:val="0035489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 w:customStyle="1">
    <w:name w:val="Text body"/>
    <w:basedOn w:val="Standard"/>
    <w:qFormat/>
    <w:rsid w:val="0035489e"/>
    <w:pPr>
      <w:jc w:val="both"/>
    </w:pPr>
    <w:rPr/>
  </w:style>
  <w:style w:type="paragraph" w:styleId="Stopka">
    <w:name w:val="Stopka"/>
    <w:basedOn w:val="Standard"/>
    <w:link w:val="FooterChar"/>
    <w:rsid w:val="0035489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rsid w:val="0035489e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489e"/>
    <w:pPr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52cad"/>
    <w:pPr/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semiHidden/>
    <w:unhideWhenUsed/>
  </w:style>
  <w:style w:type="numbering" w:styleId="WW8Num6" w:customStyle="1">
    <w:name w:val="WW8Num6"/>
    <w:rsid w:val="0035489e"/>
  </w:style>
  <w:style w:type="numbering" w:styleId="WW8Num7" w:customStyle="1">
    <w:name w:val="WW8Num7"/>
    <w:rsid w:val="0035489e"/>
  </w:style>
  <w:style w:type="numbering" w:styleId="WW8Num9" w:customStyle="1">
    <w:name w:val="WW8Num9"/>
    <w:rsid w:val="0035489e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LibreOffice/5.0.2.2$Windows_X86_64 LibreOffice_project/37b43f919e4de5eeaca9b9755ed688758a8251fe</Application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2018-05-23T15:23:00Z</dcterms:created>
  <dc:creator>OIL w Krakowie</dc:creator>
  <dc:language>pl-PL</dc:language>
  <cp:lastPrinted>2018-05-23T15:13:00Z</cp:lastPrinted>
  <dcterms:modified xsi:type="dcterms:W3CDTF">2018-05-24T16:34:54Z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